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567"/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>
        <w:rPr>
          <w:rFonts w:cs="Times New Roman" w:ascii="Times New Roman" w:hAnsi="Times New Roman"/>
          <w:b/>
          <w:color w:val="0070C0"/>
          <w:sz w:val="20"/>
          <w:szCs w:val="20"/>
        </w:rPr>
        <w:t>Программа проведения Дня открытых дверей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accent1" w:themeShade="bf" w:val="2E74B5"/>
          <w:sz w:val="20"/>
          <w:szCs w:val="20"/>
        </w:rPr>
      </w:pPr>
      <w:r>
        <w:rPr>
          <w:rFonts w:cs="Times New Roman" w:ascii="Times New Roman" w:hAnsi="Times New Roman"/>
          <w:b/>
          <w:color w:themeColor="accent1" w:themeShade="bf" w:val="2E74B5"/>
          <w:sz w:val="20"/>
          <w:szCs w:val="20"/>
        </w:rPr>
        <w:t>18 января 2025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accent1" w:themeShade="bf" w:val="2E74B5"/>
          <w:sz w:val="20"/>
          <w:szCs w:val="20"/>
        </w:rPr>
      </w:pPr>
      <w:r>
        <w:rPr>
          <w:rFonts w:cs="Times New Roman" w:ascii="Times New Roman" w:hAnsi="Times New Roman"/>
          <w:b/>
          <w:color w:themeColor="accent1" w:themeShade="bf" w:val="2E74B5"/>
          <w:sz w:val="20"/>
          <w:szCs w:val="20"/>
        </w:rPr>
      </w:r>
    </w:p>
    <w:tbl>
      <w:tblPr>
        <w:tblStyle w:val="a3"/>
        <w:tblW w:w="7513" w:type="dxa"/>
        <w:jc w:val="left"/>
        <w:tblInd w:w="-12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59"/>
        <w:gridCol w:w="5954"/>
      </w:tblGrid>
      <w:tr>
        <w:trPr/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Время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Мероприятие</w:t>
            </w:r>
          </w:p>
        </w:tc>
      </w:tr>
      <w:tr>
        <w:trPr/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12:00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БАКАЛАВРИАТ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очная </w:t>
            </w: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18"/>
                <w:szCs w:val="18"/>
                <w:lang w:val="ru-RU" w:eastAsia="en-US" w:bidi="ar-SA"/>
              </w:rPr>
              <w:t>форма обучения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презентация образовательных программ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правила приема - 2025</w:t>
            </w:r>
          </w:p>
        </w:tc>
      </w:tr>
      <w:tr>
        <w:trPr/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12:00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БАКАЛАВРИАТ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очно-заочная, заочная </w:t>
            </w: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18"/>
                <w:szCs w:val="18"/>
                <w:lang w:val="ru-RU" w:eastAsia="en-US" w:bidi="ar-SA"/>
              </w:rPr>
              <w:t>формы обучения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презентация образовательных программ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правила приема - 2025</w:t>
            </w:r>
          </w:p>
        </w:tc>
      </w:tr>
      <w:tr>
        <w:trPr/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12:00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КОЛЛЕДЖ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презентация образовательных программ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правила приема - 2025</w:t>
            </w:r>
          </w:p>
        </w:tc>
      </w:tr>
      <w:tr>
        <w:trPr>
          <w:trHeight w:val="726" w:hRule="atLeast"/>
        </w:trPr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11:30-14:00</w:t>
            </w:r>
          </w:p>
        </w:tc>
        <w:tc>
          <w:tcPr>
            <w:tcW w:w="5954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both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Консультации, ответы на вопросы представителей ректората, институтов, кафедр, сотрудников приемной комиссии</w:t>
            </w:r>
          </w:p>
        </w:tc>
      </w:tr>
    </w:tbl>
    <w:p>
      <w:pPr>
        <w:pStyle w:val="Normal"/>
        <w:spacing w:before="0" w:after="0"/>
        <w:ind w:left="-567"/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>
        <w:rPr>
          <w:rFonts w:cs="Times New Roman" w:ascii="Times New Roman" w:hAnsi="Times New Roman"/>
          <w:b/>
          <w:color w:val="0070C0"/>
          <w:sz w:val="20"/>
          <w:szCs w:val="20"/>
        </w:rPr>
        <w:t>Институты и направления подготовки</w:t>
      </w:r>
    </w:p>
    <w:tbl>
      <w:tblPr>
        <w:tblStyle w:val="a3"/>
        <w:tblW w:w="7513" w:type="dxa"/>
        <w:jc w:val="left"/>
        <w:tblInd w:w="-12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628"/>
        <w:gridCol w:w="3884"/>
      </w:tblGrid>
      <w:tr>
        <w:trPr/>
        <w:tc>
          <w:tcPr>
            <w:tcW w:w="362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Институт цифровых технологий управления и информационной безопасности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>Направления подготовки: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Математическое обеспечение и   администрирование информационных систем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Информатика и вычислительная техника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Прикладная информатика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Информационная безопасность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Бизнес-информатика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8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Институт менеджмента, предпринимательства и инжиниринга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>Направления подготовки: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Биотехнология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Технологические машины и оборудование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Технология продукции и организация общественного питания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-  Управление качеством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Менеджмент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Торговое дело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Туризм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Гостиничное дело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18"/>
                <w:szCs w:val="18"/>
                <w:lang w:val="ru-RU" w:eastAsia="en-US" w:bidi="ar-SA"/>
              </w:rPr>
            </w:r>
          </w:p>
        </w:tc>
      </w:tr>
      <w:tr>
        <w:trPr/>
        <w:tc>
          <w:tcPr>
            <w:tcW w:w="362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Институт государственного, муниципального управления и права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>Направления подготовки: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Управление персоналом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Государственное и муниципальное управление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Юриспруденция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Судебная экспертиза </w:t>
            </w:r>
            <w:r>
              <w:rPr>
                <w:rFonts w:eastAsia="Calibri" w:cs="Times New Roman" w:ascii="Times New Roman" w:hAnsi="Times New Roman"/>
                <w:b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>(специалитет)</w:t>
            </w:r>
          </w:p>
        </w:tc>
        <w:tc>
          <w:tcPr>
            <w:tcW w:w="38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18"/>
                <w:szCs w:val="18"/>
                <w:lang w:val="ru-RU" w:eastAsia="en-US" w:bidi="ar-SA"/>
              </w:rPr>
              <w:t>Институт экономики и финансов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>Направления подготовки: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Землеустройство и кадастры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</w:t>
            </w:r>
            <w:r>
              <w:rPr>
                <w:rFonts w:eastAsia="Calibri" w:cs="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18"/>
                <w:szCs w:val="18"/>
                <w:lang w:val="ru-RU" w:eastAsia="en-US" w:bidi="ar-SA"/>
              </w:rPr>
              <w:t xml:space="preserve">- Экономическая безопасность </w:t>
            </w:r>
            <w:r>
              <w:rPr>
                <w:rFonts w:eastAsia="Calibri" w:cs="Times New Roman" w:ascii="Times New Roman" w:hAnsi="Times New Roman"/>
                <w:b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>(специалитет)</w:t>
            </w:r>
            <w:r>
              <w:rPr>
                <w:rFonts w:eastAsia="Calibri" w:cs="Times New Roman" w:ascii="Times New Roman" w:hAnsi="Times New Roman"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 xml:space="preserve">  </w:t>
            </w:r>
          </w:p>
        </w:tc>
      </w:tr>
    </w:tbl>
    <w:p>
      <w:pPr>
        <w:pStyle w:val="Normal"/>
        <w:spacing w:before="0" w:after="0"/>
        <w:ind w:left="-567"/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>
        <w:rPr>
          <w:rFonts w:cs="Times New Roman" w:ascii="Times New Roman" w:hAnsi="Times New Roman"/>
          <w:b/>
          <w:color w:val="0070C0"/>
          <w:sz w:val="20"/>
          <w:szCs w:val="20"/>
        </w:rPr>
      </w:r>
    </w:p>
    <w:p>
      <w:pPr>
        <w:pStyle w:val="Normal"/>
        <w:spacing w:before="0" w:after="0"/>
        <w:ind w:left="-567"/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>
        <w:rPr>
          <w:rFonts w:cs="Times New Roman" w:ascii="Times New Roman" w:hAnsi="Times New Roman"/>
          <w:b/>
          <w:color w:val="0070C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color w:themeColor="accent1" w:themeShade="bf" w:val="2E74B5"/>
        </w:rPr>
      </w:pPr>
      <w:r>
        <w:rPr>
          <w:rFonts w:cs="Times New Roman" w:ascii="Times New Roman" w:hAnsi="Times New Roman"/>
          <w:b/>
          <w:color w:themeColor="accent1" w:themeShade="bf" w:val="2E74B5"/>
        </w:rPr>
      </w:r>
    </w:p>
    <w:p>
      <w:pPr>
        <w:pStyle w:val="Normal"/>
        <w:jc w:val="center"/>
        <w:rPr>
          <w:rFonts w:ascii="Times New Roman" w:hAnsi="Times New Roman" w:cs="Times New Roman"/>
          <w:b/>
          <w:color w:themeColor="accent1" w:themeShade="bf" w:val="2E74B5"/>
        </w:rPr>
      </w:pPr>
      <w:r>
        <w:rPr>
          <w:rFonts w:cs="Times New Roman" w:ascii="Times New Roman" w:hAnsi="Times New Roman"/>
          <w:b/>
          <w:color w:themeColor="accent1" w:themeShade="bf" w:val="2E74B5"/>
        </w:rPr>
      </w:r>
    </w:p>
    <w:p>
      <w:pPr>
        <w:pStyle w:val="Normal"/>
        <w:jc w:val="center"/>
        <w:rPr>
          <w:rFonts w:ascii="Times New Roman" w:hAnsi="Times New Roman" w:cs="Times New Roman"/>
          <w:b/>
          <w:color w:themeColor="accent1" w:themeShade="bf" w:val="2E74B5"/>
        </w:rPr>
      </w:pPr>
      <w:r>
        <w:rPr>
          <w:rFonts w:cs="Times New Roman" w:ascii="Times New Roman" w:hAnsi="Times New Roman"/>
          <w:b/>
          <w:color w:themeColor="accent1" w:themeShade="bf" w:val="2E74B5"/>
        </w:rPr>
      </w:r>
    </w:p>
    <w:p>
      <w:pPr>
        <w:pStyle w:val="Normal"/>
        <w:jc w:val="center"/>
        <w:rPr>
          <w:rFonts w:ascii="Times New Roman" w:hAnsi="Times New Roman" w:cs="Times New Roman"/>
          <w:b/>
          <w:color w:themeColor="accent1" w:themeShade="bf" w:val="2E74B5"/>
        </w:rPr>
      </w:pPr>
      <w:r>
        <w:rPr>
          <w:rFonts w:cs="Times New Roman" w:ascii="Times New Roman" w:hAnsi="Times New Roman"/>
          <w:b/>
          <w:color w:themeColor="accent1" w:themeShade="bf" w:val="2E74B5"/>
        </w:rPr>
      </w:r>
    </w:p>
    <w:p>
      <w:pPr>
        <w:pStyle w:val="Normal"/>
        <w:jc w:val="center"/>
        <w:rPr>
          <w:rFonts w:ascii="Times New Roman" w:hAnsi="Times New Roman" w:cs="Times New Roman"/>
          <w:b/>
          <w:color w:themeColor="accent1" w:themeShade="bf" w:val="2E74B5"/>
        </w:rPr>
      </w:pPr>
      <w:r>
        <w:rPr>
          <w:rFonts w:cs="Times New Roman" w:ascii="Times New Roman" w:hAnsi="Times New Roman"/>
          <w:b/>
          <w:color w:themeColor="accent1" w:themeShade="bf" w:val="2E74B5"/>
        </w:rPr>
        <w:t>Интерактивные площадки</w:t>
      </w:r>
    </w:p>
    <w:tbl>
      <w:tblPr>
        <w:tblStyle w:val="a3"/>
        <w:tblW w:w="7372" w:type="dxa"/>
        <w:jc w:val="left"/>
        <w:tblInd w:w="-12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9"/>
        <w:gridCol w:w="3119"/>
        <w:gridCol w:w="3188"/>
      </w:tblGrid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highlight w:val="yellow"/>
                <w:lang w:val="ru-RU" w:eastAsia="en-US" w:bidi="ar-SA"/>
              </w:rPr>
              <w:t>Время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Кафедра</w:t>
            </w:r>
          </w:p>
        </w:tc>
        <w:tc>
          <w:tcPr>
            <w:tcW w:w="31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Название мастер-класса</w:t>
            </w:r>
          </w:p>
        </w:tc>
      </w:tr>
      <w:tr>
        <w:trPr>
          <w:trHeight w:val="477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highlight w:val="yellow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Мировой экономики и внешнеэкономической деятельности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</w:p>
        </w:tc>
        <w:tc>
          <w:tcPr>
            <w:tcW w:w="31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«Как ВЭД влияет на экономику страны?»</w:t>
            </w:r>
          </w:p>
        </w:tc>
      </w:tr>
      <w:tr>
        <w:trPr>
          <w:trHeight w:val="400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Маркетинга и международного менеджмента 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</w:p>
        </w:tc>
        <w:tc>
          <w:tcPr>
            <w:tcW w:w="31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«Менеджмент без границ: правила коммуникации с иностранными партнерами»</w:t>
            </w:r>
          </w:p>
        </w:tc>
      </w:tr>
      <w:tr>
        <w:trPr>
          <w:trHeight w:val="419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Маркетинга и международного менеджмента 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</w:p>
        </w:tc>
        <w:tc>
          <w:tcPr>
            <w:tcW w:w="31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«Маркетинговые стратегии успешных компаний: кейсы и квиз»</w:t>
            </w:r>
          </w:p>
        </w:tc>
      </w:tr>
      <w:tr>
        <w:trPr>
          <w:trHeight w:val="357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Управления качеством и экспертизы товаров и услуг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"Мир экспертиз"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Логистики и коммерции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88" w:type="dxa"/>
            <w:tcBorders/>
          </w:tcPr>
          <w:p>
            <w:pPr>
              <w:pStyle w:val="Normal"/>
              <w:widowControl/>
              <w:spacing w:lineRule="auto" w:line="480" w:before="0" w:after="0"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«Успешный логист»</w:t>
            </w:r>
          </w:p>
        </w:tc>
      </w:tr>
      <w:tr>
        <w:trPr>
          <w:trHeight w:val="125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Публичного права</w:t>
            </w:r>
          </w:p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right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88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«Моя будущая профессия – Юрист»</w:t>
            </w:r>
          </w:p>
        </w:tc>
      </w:tr>
      <w:tr>
        <w:trPr>
          <w:trHeight w:val="589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themeColor="text1"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>Экономика труда и управление персоналом</w:t>
            </w:r>
          </w:p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right"/>
              <w:rPr>
                <w:rFonts w:ascii="Times New Roman" w:hAnsi="Times New Roman" w:cs="Times New Roman"/>
                <w:b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188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«Позитив на прокачку: легко найти, трудно потерять»</w:t>
            </w:r>
          </w:p>
        </w:tc>
      </w:tr>
      <w:tr>
        <w:trPr>
          <w:trHeight w:val="299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themeColor="text1"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>Информационных технологий и статистики</w:t>
            </w:r>
          </w:p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color w:themeColor="accent1" w:themeShade="bf" w:val="2E74B5"/>
                <w:kern w:val="0"/>
                <w:sz w:val="18"/>
                <w:szCs w:val="18"/>
                <w:lang w:val="ru-RU" w:eastAsia="en-US" w:bidi="ar-SA"/>
              </w:rPr>
              <w:t xml:space="preserve">                                </w:t>
            </w:r>
          </w:p>
        </w:tc>
        <w:tc>
          <w:tcPr>
            <w:tcW w:w="3188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 xml:space="preserve">«Всё о </w:t>
            </w: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en-US" w:eastAsia="en-US" w:bidi="ar-SA"/>
              </w:rPr>
              <w:t>QR</w:t>
            </w: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-коде»</w:t>
            </w:r>
          </w:p>
        </w:tc>
      </w:tr>
      <w:tr>
        <w:trPr>
          <w:trHeight w:val="399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themeColor="text1"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>Информационных технологий и статистики</w:t>
            </w:r>
          </w:p>
          <w:p>
            <w:pPr>
              <w:pStyle w:val="ListParagraph"/>
              <w:widowControl/>
              <w:spacing w:lineRule="auto" w:line="240" w:before="0" w:after="200"/>
              <w:contextualSpacing/>
              <w:jc w:val="right"/>
              <w:rPr>
                <w:rFonts w:ascii="Times New Roman" w:hAnsi="Times New Roman" w:cs="Times New Roman"/>
                <w:b/>
                <w:color w:themeColor="accent1" w:themeShade="bf" w:val="2E74B5"/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88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 xml:space="preserve">«Дизайн интерфейсов: сайты </w:t>
            </w: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en-US" w:eastAsia="en-US" w:bidi="ar-SA"/>
              </w:rPr>
              <w:t>UX</w:t>
            </w: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-</w:t>
            </w: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en-US" w:eastAsia="en-US" w:bidi="ar-SA"/>
              </w:rPr>
              <w:t>UI</w:t>
            </w: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»</w:t>
            </w:r>
          </w:p>
        </w:tc>
      </w:tr>
      <w:tr>
        <w:trPr>
          <w:trHeight w:val="149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13.30</w:t>
            </w:r>
          </w:p>
        </w:tc>
        <w:tc>
          <w:tcPr>
            <w:tcW w:w="3119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themeColor="text1"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>Биотехнологии и инжиниринга</w:t>
            </w:r>
          </w:p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right"/>
              <w:rPr>
                <w:rFonts w:ascii="Times New Roman" w:hAnsi="Times New Roman" w:cs="Times New Roman"/>
                <w:b/>
                <w:color w:themeColor="text1" w:val="000000"/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88" w:type="dxa"/>
            <w:tcBorders/>
          </w:tcPr>
          <w:p>
            <w:pPr>
              <w:pStyle w:val="ListParagraph"/>
              <w:widowControl/>
              <w:spacing w:lineRule="auto" w:line="240" w:before="0" w:after="200"/>
              <w:ind w:left="0"/>
              <w:contextualSpacing/>
              <w:jc w:val="left"/>
              <w:rPr>
                <w:rFonts w:ascii="Times New Roman" w:hAnsi="Times New Roman" w:cs="Times New Roman"/>
                <w:color w:themeColor="text1"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18"/>
                <w:szCs w:val="18"/>
                <w:lang w:val="ru-RU" w:eastAsia="en-US" w:bidi="ar-SA"/>
              </w:rPr>
              <w:t>«Биотехнология антиоксидантов и биологически активных веществ»</w:t>
            </w:r>
          </w:p>
        </w:tc>
      </w:tr>
    </w:tbl>
    <w:p>
      <w:pPr>
        <w:pStyle w:val="Normal"/>
        <w:spacing w:before="0" w:after="160"/>
        <w:ind w:left="-567"/>
        <w:jc w:val="center"/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cs="Times New Roman" w:ascii="Times New Roman" w:hAnsi="Times New Roman"/>
          <w:b/>
          <w:color w:val="0070C0"/>
          <w:sz w:val="18"/>
          <w:szCs w:val="18"/>
        </w:rPr>
      </w:r>
    </w:p>
    <w:sectPr>
      <w:type w:val="nextPage"/>
      <w:pgSz w:w="8391" w:h="11906"/>
      <w:pgMar w:left="1701" w:right="851" w:gutter="0" w:header="0" w:top="142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32ec6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585071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Noto Sans CJK SC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 Devanagari"/>
    </w:rPr>
  </w:style>
  <w:style w:type="paragraph" w:styleId="ListParagraph">
    <w:name w:val="List Paragraph"/>
    <w:basedOn w:val="Normal"/>
    <w:uiPriority w:val="34"/>
    <w:qFormat/>
    <w:rsid w:val="00632ec6"/>
    <w:pPr>
      <w:spacing w:lineRule="auto" w:line="276" w:before="0" w:after="20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8507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32e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LibreOffice/7.6.7.2$Linux_X86_64 LibreOffice_project/60$Build-2</Application>
  <AppVersion>15.0000</AppVersion>
  <Pages>2</Pages>
  <Words>274</Words>
  <Characters>2040</Characters>
  <CharactersWithSpaces>2287</CharactersWithSpaces>
  <Paragraphs>87</Paragraphs>
  <Company>УрГЭУ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2022-12-29T07:26:00Z</dcterms:created>
  <dc:creator>Колчина Вера Викторовна</dc:creator>
  <dc:description/>
  <dc:language>ru-RU</dc:language>
  <cp:lastModifiedBy/>
  <cp:lastPrinted>2024-12-24T07:37:00Z</cp:lastPrinted>
  <dcterms:modified xsi:type="dcterms:W3CDTF">2025-01-09T16:10:46Z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